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142782">
      <w:pPr>
        <w:keepNext w:val="0"/>
        <w:keepLines w:val="0"/>
        <w:widowControl/>
        <w:suppressLineNumbers w:val="0"/>
        <w:jc w:val="left"/>
        <w:rPr>
          <w:rFonts w:hint="eastAsia" w:ascii="黑体" w:hAnsi="黑体" w:eastAsia="黑体" w:cs="黑体"/>
          <w:b/>
          <w:bCs/>
          <w:color w:val="000000"/>
          <w:kern w:val="0"/>
          <w:sz w:val="36"/>
          <w:szCs w:val="36"/>
          <w:lang w:val="en-US" w:eastAsia="zh-CN" w:bidi="ar"/>
        </w:rPr>
      </w:pPr>
      <w:r>
        <w:rPr>
          <w:rFonts w:hint="eastAsia" w:ascii="黑体" w:hAnsi="黑体" w:eastAsia="黑体" w:cs="黑体"/>
          <w:b/>
          <w:bCs/>
          <w:color w:val="000000"/>
          <w:kern w:val="0"/>
          <w:sz w:val="36"/>
          <w:szCs w:val="36"/>
          <w:lang w:val="en-US" w:eastAsia="zh-CN" w:bidi="ar"/>
        </w:rPr>
        <w:t>《庄河市蓉花山镇前发村村庄规划（2021-2035年）》</w:t>
      </w:r>
    </w:p>
    <w:p w14:paraId="13C9AD52">
      <w:pPr>
        <w:keepNext w:val="0"/>
        <w:keepLines w:val="0"/>
        <w:widowControl/>
        <w:suppressLineNumbers w:val="0"/>
        <w:jc w:val="center"/>
        <w:rPr>
          <w:rFonts w:hint="eastAsia" w:ascii="黑体" w:hAnsi="黑体" w:eastAsia="黑体" w:cs="黑体"/>
          <w:b/>
          <w:bCs/>
          <w:color w:val="000000"/>
          <w:kern w:val="0"/>
          <w:sz w:val="36"/>
          <w:szCs w:val="36"/>
          <w:lang w:val="en-US" w:eastAsia="zh-CN" w:bidi="ar"/>
        </w:rPr>
      </w:pPr>
      <w:r>
        <w:rPr>
          <w:rFonts w:hint="eastAsia" w:ascii="黑体" w:hAnsi="黑体" w:eastAsia="黑体" w:cs="黑体"/>
          <w:b/>
          <w:bCs/>
          <w:color w:val="000000"/>
          <w:kern w:val="0"/>
          <w:sz w:val="36"/>
          <w:szCs w:val="36"/>
          <w:lang w:val="en-US" w:eastAsia="zh-CN" w:bidi="ar"/>
        </w:rPr>
        <w:t>公告</w:t>
      </w:r>
    </w:p>
    <w:p w14:paraId="7A049F9B">
      <w:pPr>
        <w:keepNext w:val="0"/>
        <w:keepLines w:val="0"/>
        <w:widowControl/>
        <w:suppressLineNumbers w:val="0"/>
        <w:jc w:val="left"/>
        <w:rPr>
          <w:rFonts w:hint="eastAsia" w:ascii="黑体" w:hAnsi="黑体" w:eastAsia="黑体" w:cs="黑体"/>
        </w:rPr>
      </w:pPr>
      <w:r>
        <w:rPr>
          <w:rFonts w:hint="eastAsia" w:ascii="黑体" w:hAnsi="黑体" w:eastAsia="黑体" w:cs="黑体"/>
          <w:b/>
          <w:bCs/>
          <w:color w:val="000000"/>
          <w:kern w:val="0"/>
          <w:sz w:val="30"/>
          <w:szCs w:val="30"/>
          <w:lang w:val="en-US" w:eastAsia="zh-CN" w:bidi="ar"/>
        </w:rPr>
        <w:t>一、基本情况</w:t>
      </w:r>
    </w:p>
    <w:p w14:paraId="13E21E75">
      <w:pPr>
        <w:keepNext w:val="0"/>
        <w:keepLines w:val="0"/>
        <w:widowControl/>
        <w:suppressLineNumbers w:val="0"/>
        <w:ind w:firstLine="600" w:firstLineChars="200"/>
        <w:jc w:val="left"/>
        <w:rPr>
          <w:rFonts w:hint="eastAsia" w:ascii="仿宋" w:hAnsi="仿宋" w:eastAsia="仿宋" w:cs="仿宋"/>
          <w:b w:val="0"/>
          <w:bCs w:val="0"/>
          <w:sz w:val="24"/>
        </w:rPr>
      </w:pPr>
      <w:r>
        <w:rPr>
          <w:rFonts w:hint="eastAsia" w:ascii="仿宋" w:hAnsi="仿宋" w:eastAsia="仿宋" w:cs="仿宋"/>
          <w:b w:val="0"/>
          <w:bCs w:val="0"/>
          <w:color w:val="000000"/>
          <w:kern w:val="0"/>
          <w:sz w:val="30"/>
          <w:szCs w:val="30"/>
          <w:lang w:val="en-US" w:eastAsia="zh-CN" w:bidi="ar"/>
        </w:rPr>
        <w:t>1.区域位置</w:t>
      </w:r>
    </w:p>
    <w:p w14:paraId="7D154898">
      <w:pPr>
        <w:spacing w:line="420" w:lineRule="auto"/>
        <w:ind w:firstLine="573"/>
        <w:rPr>
          <w:rFonts w:hint="eastAsia" w:ascii="仿宋" w:hAnsi="仿宋" w:eastAsia="仿宋" w:cs="仿宋"/>
          <w:b w:val="0"/>
          <w:bCs w:val="0"/>
          <w:sz w:val="24"/>
        </w:rPr>
      </w:pPr>
      <w:r>
        <w:rPr>
          <w:rFonts w:hint="eastAsia" w:ascii="仿宋" w:hAnsi="仿宋" w:eastAsia="仿宋" w:cs="仿宋"/>
          <w:b w:val="0"/>
          <w:bCs w:val="0"/>
          <w:color w:val="000000"/>
          <w:kern w:val="0"/>
          <w:sz w:val="30"/>
          <w:szCs w:val="30"/>
          <w:lang w:val="en-US" w:eastAsia="zh-CN" w:bidi="ar"/>
        </w:rPr>
        <w:t>前发村隶属于庄河市蓉花山镇，位于镇域南部，东邻前发村，西与长岭镇接壤，北部毗邻蓉花山镇，南隔朱隈水库与光明山相望，对外交通条件优越，距离镇区5公里。</w:t>
      </w:r>
    </w:p>
    <w:p w14:paraId="349E2276">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2.规划范围</w:t>
      </w:r>
    </w:p>
    <w:p w14:paraId="52C8F781">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本次规划范围为庄河市蓉花山镇前发村全域，规划国土总面积3002.85公顷；村域包含20个自然屯：曲店、牛屯、东林、北坡、南坡、王屯、阎屯、都屯、小金屯、娄屯、娄张屯、赵屯、北房身屯、山咀屯、红张屯、耿屯、东何屯、西何屯、吉玉堂、吴屯。</w:t>
      </w:r>
    </w:p>
    <w:p w14:paraId="71898ED6">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3.规划期限 </w:t>
      </w:r>
    </w:p>
    <w:p w14:paraId="094779A3">
      <w:pPr>
        <w:keepNext w:val="0"/>
        <w:keepLines w:val="0"/>
        <w:widowControl/>
        <w:suppressLineNumbers w:val="0"/>
        <w:ind w:firstLine="600" w:firstLineChars="200"/>
        <w:jc w:val="left"/>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规划基期2020年，近期至2025年，远期至2035年。</w:t>
      </w:r>
    </w:p>
    <w:p w14:paraId="10BC648E">
      <w:pPr>
        <w:keepNext w:val="0"/>
        <w:keepLines w:val="0"/>
        <w:widowControl/>
        <w:suppressLineNumbers w:val="0"/>
        <w:jc w:val="left"/>
        <w:rPr>
          <w:rFonts w:hint="eastAsia" w:ascii="黑体" w:hAnsi="黑体" w:eastAsia="黑体" w:cs="黑体"/>
          <w:b/>
          <w:bCs/>
          <w:color w:val="000000"/>
          <w:kern w:val="0"/>
          <w:sz w:val="30"/>
          <w:szCs w:val="30"/>
          <w:lang w:val="en-US" w:eastAsia="zh-CN" w:bidi="ar"/>
        </w:rPr>
      </w:pPr>
      <w:r>
        <w:rPr>
          <w:rFonts w:hint="eastAsia" w:ascii="黑体" w:hAnsi="黑体" w:eastAsia="黑体" w:cs="黑体"/>
          <w:b/>
          <w:bCs/>
          <w:color w:val="000000"/>
          <w:kern w:val="0"/>
          <w:sz w:val="30"/>
          <w:szCs w:val="30"/>
          <w:lang w:val="en-US" w:eastAsia="zh-CN" w:bidi="ar"/>
        </w:rPr>
        <w:t>二、国土空间管控</w:t>
      </w:r>
    </w:p>
    <w:p w14:paraId="736719A9">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根据上位规划《</w:t>
      </w:r>
      <w:r>
        <w:rPr>
          <w:rFonts w:hint="default" w:ascii="仿宋" w:hAnsi="仿宋" w:eastAsia="仿宋" w:cs="仿宋"/>
          <w:b w:val="0"/>
          <w:bCs w:val="0"/>
          <w:color w:val="000000"/>
          <w:kern w:val="0"/>
          <w:sz w:val="30"/>
          <w:szCs w:val="30"/>
          <w:lang w:val="en-US" w:eastAsia="zh-CN" w:bidi="ar"/>
        </w:rPr>
        <w:t>大连市</w:t>
      </w:r>
      <w:r>
        <w:rPr>
          <w:rFonts w:hint="eastAsia" w:ascii="仿宋" w:hAnsi="仿宋" w:eastAsia="仿宋" w:cs="仿宋"/>
          <w:b w:val="0"/>
          <w:bCs w:val="0"/>
          <w:color w:val="000000"/>
          <w:kern w:val="0"/>
          <w:sz w:val="30"/>
          <w:szCs w:val="30"/>
          <w:lang w:val="en-US" w:eastAsia="zh-CN" w:bidi="ar"/>
        </w:rPr>
        <w:t>庄河市蓉花山镇</w:t>
      </w:r>
      <w:r>
        <w:rPr>
          <w:rFonts w:hint="default" w:ascii="仿宋" w:hAnsi="仿宋" w:eastAsia="仿宋" w:cs="仿宋"/>
          <w:b w:val="0"/>
          <w:bCs w:val="0"/>
          <w:color w:val="000000"/>
          <w:kern w:val="0"/>
          <w:sz w:val="30"/>
          <w:szCs w:val="30"/>
          <w:lang w:val="en-US" w:eastAsia="zh-CN" w:bidi="ar"/>
        </w:rPr>
        <w:t>国土空间总体规划</w:t>
      </w:r>
      <w:r>
        <w:rPr>
          <w:rFonts w:hint="eastAsia" w:ascii="仿宋" w:hAnsi="仿宋" w:eastAsia="仿宋" w:cs="仿宋"/>
          <w:b w:val="0"/>
          <w:bCs w:val="0"/>
          <w:color w:val="000000"/>
          <w:kern w:val="0"/>
          <w:sz w:val="30"/>
          <w:szCs w:val="30"/>
          <w:lang w:val="en-US" w:eastAsia="zh-CN" w:bidi="ar"/>
        </w:rPr>
        <w:t>（2021-2035）》，前发村为基层</w:t>
      </w:r>
      <w:r>
        <w:rPr>
          <w:rFonts w:hint="eastAsia" w:ascii="仿宋" w:hAnsi="仿宋" w:eastAsia="仿宋" w:cs="仿宋"/>
          <w:b w:val="0"/>
          <w:bCs w:val="0"/>
          <w:color w:val="000000"/>
          <w:kern w:val="0"/>
          <w:sz w:val="30"/>
          <w:szCs w:val="30"/>
          <w:lang w:val="en-US" w:eastAsia="zh-CN" w:bidi="ar"/>
        </w:rPr>
        <w:t>村</w:t>
      </w:r>
      <w:r>
        <w:rPr>
          <w:rFonts w:hint="eastAsia" w:ascii="仿宋" w:hAnsi="仿宋" w:eastAsia="仿宋" w:cs="仿宋"/>
          <w:b w:val="0"/>
          <w:bCs w:val="0"/>
          <w:color w:val="000000"/>
          <w:kern w:val="0"/>
          <w:sz w:val="30"/>
          <w:szCs w:val="30"/>
          <w:lang w:val="en-US" w:eastAsia="zh-CN" w:bidi="ar"/>
        </w:rPr>
        <w:t>，划分为整治提升</w:t>
      </w:r>
      <w:r>
        <w:rPr>
          <w:rFonts w:hint="eastAsia" w:ascii="仿宋" w:hAnsi="仿宋" w:eastAsia="仿宋" w:cs="仿宋"/>
          <w:b w:val="0"/>
          <w:bCs w:val="0"/>
          <w:color w:val="000000"/>
          <w:kern w:val="0"/>
          <w:sz w:val="30"/>
          <w:szCs w:val="30"/>
          <w:lang w:val="en-US" w:eastAsia="zh-CN" w:bidi="ar"/>
        </w:rPr>
        <w:t>类村庄。明确前发村2035年乡村常住人口约1700人。约束性指标包括：永久基本农田面积：756.37</w:t>
      </w:r>
      <w:r>
        <w:rPr>
          <w:rFonts w:hint="eastAsia" w:ascii="仿宋" w:hAnsi="仿宋" w:eastAsia="仿宋" w:cs="仿宋"/>
          <w:b w:val="0"/>
          <w:bCs w:val="0"/>
          <w:color w:val="000000"/>
          <w:kern w:val="0"/>
          <w:sz w:val="30"/>
          <w:szCs w:val="30"/>
          <w:lang w:val="en-US" w:eastAsia="zh-CN" w:bidi="ar"/>
        </w:rPr>
        <w:t>公顷，耕地保有量面积：815.72</w:t>
      </w:r>
      <w:r>
        <w:rPr>
          <w:rFonts w:hint="eastAsia" w:ascii="仿宋" w:hAnsi="仿宋" w:eastAsia="仿宋" w:cs="仿宋"/>
          <w:b w:val="0"/>
          <w:bCs w:val="0"/>
          <w:color w:val="000000"/>
          <w:kern w:val="0"/>
          <w:sz w:val="30"/>
          <w:szCs w:val="30"/>
          <w:lang w:val="en-US" w:eastAsia="zh-CN" w:bidi="ar"/>
        </w:rPr>
        <w:t>公顷，生态保护红线面积：630.24</w:t>
      </w:r>
      <w:r>
        <w:rPr>
          <w:rFonts w:hint="eastAsia" w:ascii="仿宋" w:hAnsi="仿宋" w:eastAsia="仿宋" w:cs="仿宋"/>
          <w:b w:val="0"/>
          <w:bCs w:val="0"/>
          <w:color w:val="000000"/>
          <w:kern w:val="0"/>
          <w:sz w:val="30"/>
          <w:szCs w:val="30"/>
          <w:lang w:val="en-US" w:eastAsia="zh-CN" w:bidi="ar"/>
        </w:rPr>
        <w:t>公顷，村庄建设边界面积：181.29</w:t>
      </w:r>
      <w:r>
        <w:rPr>
          <w:rFonts w:hint="eastAsia" w:ascii="仿宋" w:hAnsi="仿宋" w:eastAsia="仿宋" w:cs="仿宋"/>
          <w:b w:val="0"/>
          <w:bCs w:val="0"/>
          <w:color w:val="000000"/>
          <w:kern w:val="0"/>
          <w:sz w:val="30"/>
          <w:szCs w:val="30"/>
          <w:lang w:val="en-US" w:eastAsia="zh-CN" w:bidi="ar"/>
        </w:rPr>
        <w:t xml:space="preserve"> 公顷。</w:t>
      </w:r>
    </w:p>
    <w:p w14:paraId="264153B1">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1.保障农业空间 </w:t>
      </w:r>
    </w:p>
    <w:p w14:paraId="0AD7655D">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农业空间包括耕地、园地、设施农用地等。村域规划形成林业发展片区、设施果业发展片区和一般农业发展片区。</w:t>
      </w:r>
    </w:p>
    <w:p w14:paraId="3984FD23">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统筹安排农业发展空间，坚持农地农用，稳定粮食播种面积，鼓励发展多功能复合、多业态融合的绿色高效农业。一般农业空间面积约138.39公顷，重点发展果蔬种植业</w:t>
      </w:r>
      <w:r>
        <w:rPr>
          <w:rFonts w:hint="eastAsia" w:ascii="仿宋" w:hAnsi="仿宋" w:eastAsia="仿宋" w:cs="仿宋"/>
          <w:b w:val="0"/>
          <w:bCs w:val="0"/>
          <w:color w:val="000000"/>
          <w:kern w:val="0"/>
          <w:sz w:val="30"/>
          <w:szCs w:val="30"/>
          <w:lang w:val="en-US" w:eastAsia="zh-CN" w:bidi="ar"/>
        </w:rPr>
        <w:t>、柞蚕养殖业，引导</w:t>
      </w:r>
      <w:r>
        <w:rPr>
          <w:rFonts w:hint="eastAsia" w:ascii="仿宋" w:hAnsi="仿宋" w:eastAsia="仿宋" w:cs="仿宋"/>
          <w:b w:val="0"/>
          <w:bCs w:val="0"/>
          <w:color w:val="000000"/>
          <w:kern w:val="0"/>
          <w:sz w:val="30"/>
          <w:szCs w:val="30"/>
          <w:lang w:val="en-US" w:eastAsia="zh-CN" w:bidi="ar"/>
        </w:rPr>
        <w:t>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14:paraId="21FDD7D7">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分类优化设置田间道，具有农田耕作、农业物资运输等现代化农业生产功能的田间道，道路宽度宜控制在3-6米；以步行功能为主的生产路，宽度控制1.5-3米；同时可结合休闲旅游节点设置慢行步道。</w:t>
      </w:r>
    </w:p>
    <w:p w14:paraId="50813FF5">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2.保护生态空间 </w:t>
      </w:r>
    </w:p>
    <w:p w14:paraId="7B26D2BB">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严守生态保护底线，严格落实上位规划传导的生态红线，前发村生态红线主要类型为水土保持功能，总面积约630.24公顷，主要位于前发村村域南北两侧地区。</w:t>
      </w:r>
      <w:r>
        <w:rPr>
          <w:rFonts w:hint="eastAsia" w:ascii="仿宋" w:hAnsi="仿宋" w:eastAsia="仿宋" w:cs="仿宋"/>
          <w:b w:val="0"/>
          <w:bCs w:val="0"/>
          <w:color w:val="000000"/>
          <w:kern w:val="0"/>
          <w:sz w:val="30"/>
          <w:szCs w:val="30"/>
          <w:lang w:val="en-US" w:eastAsia="zh-CN" w:bidi="ar"/>
        </w:rPr>
        <w:t>将生态保护红线以外集中连片的林地、河流划入一般生态空间。</w:t>
      </w:r>
    </w:p>
    <w:p w14:paraId="6E645F5B">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林地保护。落实上位规划下达的林地保有量指标和保护要求，东义村无绿化造林图斑。</w:t>
      </w:r>
    </w:p>
    <w:p w14:paraId="1B2CBA19">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3.优化建设空间</w:t>
      </w:r>
    </w:p>
    <w:p w14:paraId="3B1EDFD3">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根据上位规划《</w:t>
      </w:r>
      <w:r>
        <w:rPr>
          <w:rFonts w:hint="default" w:ascii="仿宋" w:hAnsi="仿宋" w:eastAsia="仿宋" w:cs="仿宋"/>
          <w:b w:val="0"/>
          <w:bCs w:val="0"/>
          <w:color w:val="000000"/>
          <w:kern w:val="0"/>
          <w:sz w:val="30"/>
          <w:szCs w:val="30"/>
          <w:lang w:val="en-US" w:eastAsia="zh-CN" w:bidi="ar"/>
        </w:rPr>
        <w:t>大连市</w:t>
      </w:r>
      <w:r>
        <w:rPr>
          <w:rFonts w:hint="eastAsia" w:ascii="仿宋" w:hAnsi="仿宋" w:eastAsia="仿宋" w:cs="仿宋"/>
          <w:b w:val="0"/>
          <w:bCs w:val="0"/>
          <w:color w:val="000000"/>
          <w:kern w:val="0"/>
          <w:sz w:val="30"/>
          <w:szCs w:val="30"/>
          <w:lang w:val="en-US" w:eastAsia="zh-CN" w:bidi="ar"/>
        </w:rPr>
        <w:t>庄河市蓉花山镇</w:t>
      </w:r>
      <w:r>
        <w:rPr>
          <w:rFonts w:hint="default" w:ascii="仿宋" w:hAnsi="仿宋" w:eastAsia="仿宋" w:cs="仿宋"/>
          <w:b w:val="0"/>
          <w:bCs w:val="0"/>
          <w:color w:val="000000"/>
          <w:kern w:val="0"/>
          <w:sz w:val="30"/>
          <w:szCs w:val="30"/>
          <w:lang w:val="en-US" w:eastAsia="zh-CN" w:bidi="ar"/>
        </w:rPr>
        <w:t>国土空间总体规划</w:t>
      </w:r>
      <w:r>
        <w:rPr>
          <w:rFonts w:hint="eastAsia" w:ascii="仿宋" w:hAnsi="仿宋" w:eastAsia="仿宋" w:cs="仿宋"/>
          <w:b w:val="0"/>
          <w:bCs w:val="0"/>
          <w:color w:val="000000"/>
          <w:kern w:val="0"/>
          <w:sz w:val="30"/>
          <w:szCs w:val="30"/>
          <w:lang w:val="en-US" w:eastAsia="zh-CN" w:bidi="ar"/>
        </w:rPr>
        <w:t>（2021-2035）》，前发村村庄建设边界面积：181.29公顷。</w:t>
      </w:r>
    </w:p>
    <w:p w14:paraId="71A53BCF">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根据上位规划指标传导及乡村地区人口变化趋势，前发村建设用地以存量盘活利用为主，新增空间较少。少量新增用地主要为落实上位规划传导的一二三产融合项目，在闫屯、红张屯规划2处安全饮水巩固工程，在王屯、西河屯规划两处盈利性质养老院，在吴屯规划一处商业用地、一处停车场，各屯根据现状用地情况规划期末新建广场12处。主要为新增商业服务设施、基础设施提供空间。</w:t>
      </w:r>
      <w:r>
        <w:rPr>
          <w:rFonts w:hint="eastAsia" w:ascii="仿宋" w:hAnsi="仿宋" w:eastAsia="仿宋" w:cs="仿宋"/>
          <w:b w:val="0"/>
          <w:bCs w:val="0"/>
          <w:color w:val="000000"/>
          <w:kern w:val="0"/>
          <w:sz w:val="30"/>
          <w:szCs w:val="30"/>
          <w:lang w:val="en-US" w:eastAsia="zh-CN" w:bidi="ar"/>
        </w:rPr>
        <w:t>引导零散农村居民点集聚。</w:t>
      </w:r>
    </w:p>
    <w:p w14:paraId="46A50767">
      <w:pPr>
        <w:keepNext w:val="0"/>
        <w:keepLines w:val="0"/>
        <w:widowControl/>
        <w:suppressLineNumbers w:val="0"/>
        <w:jc w:val="left"/>
      </w:pPr>
      <w:r>
        <w:rPr>
          <w:rFonts w:ascii="黑体" w:hAnsi="宋体" w:eastAsia="黑体" w:cs="黑体"/>
          <w:b/>
          <w:bCs/>
          <w:color w:val="000000"/>
          <w:kern w:val="0"/>
          <w:sz w:val="30"/>
          <w:szCs w:val="30"/>
          <w:lang w:val="en-US" w:eastAsia="zh-CN" w:bidi="ar"/>
        </w:rPr>
        <w:t>三、村域空间发展规划</w:t>
      </w:r>
    </w:p>
    <w:p w14:paraId="124C48B5">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1.产业发展 </w:t>
      </w:r>
    </w:p>
    <w:p w14:paraId="0FA2F59F">
      <w:pPr>
        <w:spacing w:line="420" w:lineRule="auto"/>
        <w:ind w:firstLine="573"/>
        <w:rPr>
          <w:rFonts w:hint="default"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 依据上位规划对前发村产业发展的要求，结合村内自然资源条件以及现状产业基础，规划前发村未来产业重点发展第一产业和第三产业。第一产业以草莓种植、柞蚕养殖为主，第三产业以休闲养老、生态旅游为主。着力打造前发村特色水库经济。</w:t>
      </w:r>
    </w:p>
    <w:p w14:paraId="58F4D69B">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2.人口规模 </w:t>
      </w:r>
    </w:p>
    <w:p w14:paraId="01DFCCEF">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至规划期末2035年，常住人口估算约1700人。</w:t>
      </w:r>
    </w:p>
    <w:p w14:paraId="4F0D9A4E">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3.空间发展布局 </w:t>
      </w:r>
    </w:p>
    <w:p w14:paraId="0DC26A50">
      <w:pPr>
        <w:spacing w:line="420" w:lineRule="auto"/>
        <w:ind w:firstLine="573"/>
        <w:rPr>
          <w:rFonts w:hint="default"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结合农业资源和林地资源分布以及现状产业布局，</w:t>
      </w:r>
      <w:r>
        <w:rPr>
          <w:rFonts w:hint="default" w:ascii="仿宋" w:hAnsi="仿宋" w:eastAsia="仿宋" w:cs="仿宋"/>
          <w:b w:val="0"/>
          <w:bCs w:val="0"/>
          <w:color w:val="000000"/>
          <w:kern w:val="0"/>
          <w:sz w:val="30"/>
          <w:szCs w:val="30"/>
          <w:lang w:val="en-US" w:eastAsia="zh-CN" w:bidi="ar"/>
        </w:rPr>
        <w:t>科学划定产业功能分区</w:t>
      </w:r>
      <w:r>
        <w:rPr>
          <w:rFonts w:hint="eastAsia" w:ascii="仿宋" w:hAnsi="仿宋" w:eastAsia="仿宋" w:cs="仿宋"/>
          <w:b w:val="0"/>
          <w:bCs w:val="0"/>
          <w:color w:val="000000"/>
          <w:kern w:val="0"/>
          <w:sz w:val="30"/>
          <w:szCs w:val="30"/>
          <w:lang w:val="en-US" w:eastAsia="zh-CN" w:bidi="ar"/>
        </w:rPr>
        <w:t>，规划形成“一心，一轴，多片区”的第一、二产空间布局，</w:t>
      </w:r>
      <w:r>
        <w:rPr>
          <w:rFonts w:hint="default" w:ascii="仿宋" w:hAnsi="仿宋" w:eastAsia="仿宋" w:cs="仿宋"/>
          <w:b w:val="0"/>
          <w:bCs w:val="0"/>
          <w:color w:val="000000"/>
          <w:kern w:val="0"/>
          <w:sz w:val="30"/>
          <w:szCs w:val="30"/>
          <w:lang w:val="en-US" w:eastAsia="zh-CN" w:bidi="ar"/>
        </w:rPr>
        <w:t>促进生产经营适度规模化、集中化布局。</w:t>
      </w:r>
    </w:p>
    <w:p w14:paraId="5419F8E0">
      <w:pPr>
        <w:spacing w:line="420" w:lineRule="auto"/>
        <w:ind w:firstLine="573"/>
        <w:rPr>
          <w:rFonts w:hint="default"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“一心” ：综合服务发展中心，位于村委会周边，为前发村村民生活服务中心。</w:t>
      </w:r>
    </w:p>
    <w:p w14:paraId="76814F49">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“一轴” ：村内主要道路曲娄线，是村内经济发展主要轴线。</w:t>
      </w:r>
    </w:p>
    <w:p w14:paraId="0FECF90F">
      <w:pPr>
        <w:spacing w:line="420" w:lineRule="auto"/>
        <w:ind w:firstLine="573"/>
        <w:rPr>
          <w:rFonts w:hint="default"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 xml:space="preserve"> “多片区” ：林业发展片区、设施果业片区、一般农业发展片区、休闲旅游片区、休闲养老片区。</w:t>
      </w:r>
      <w:r>
        <w:rPr>
          <w:rFonts w:hint="eastAsia" w:ascii="仿宋" w:hAnsi="仿宋" w:eastAsia="仿宋" w:cs="仿宋"/>
          <w:b w:val="0"/>
          <w:bCs w:val="0"/>
          <w:color w:val="000000"/>
          <w:kern w:val="0"/>
          <w:sz w:val="30"/>
          <w:szCs w:val="30"/>
          <w:lang w:val="en-US" w:eastAsia="zh-CN" w:bidi="ar"/>
        </w:rPr>
        <w:t xml:space="preserve"> </w:t>
      </w:r>
    </w:p>
    <w:p w14:paraId="726453FA">
      <w:pPr>
        <w:keepNext w:val="0"/>
        <w:keepLines w:val="0"/>
        <w:widowControl/>
        <w:suppressLineNumbers w:val="0"/>
        <w:jc w:val="left"/>
      </w:pPr>
      <w:r>
        <w:rPr>
          <w:rFonts w:ascii="黑体" w:hAnsi="宋体" w:eastAsia="黑体" w:cs="黑体"/>
          <w:b/>
          <w:bCs/>
          <w:color w:val="000000"/>
          <w:kern w:val="0"/>
          <w:sz w:val="30"/>
          <w:szCs w:val="30"/>
          <w:lang w:val="en-US" w:eastAsia="zh-CN" w:bidi="ar"/>
        </w:rPr>
        <w:t>四、人居环境整治规划</w:t>
      </w:r>
    </w:p>
    <w:p w14:paraId="3D1FF219">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人居环境整治主要对象是规划中已经集中布局的村庄居民点，结合农民生产生活方式，从道路环境整治、重点区域亮化、净化整治、绿化景观整治、边沟整治等角度对村庄人居环境进行规划设计。</w:t>
      </w:r>
    </w:p>
    <w:p w14:paraId="1DB2B03D">
      <w:pPr>
        <w:keepNext w:val="0"/>
        <w:keepLines w:val="0"/>
        <w:widowControl/>
        <w:suppressLineNumbers w:val="0"/>
        <w:jc w:val="left"/>
      </w:pPr>
      <w:r>
        <w:rPr>
          <w:rFonts w:ascii="黑体" w:hAnsi="宋体" w:eastAsia="黑体" w:cs="黑体"/>
          <w:b/>
          <w:bCs/>
          <w:color w:val="000000"/>
          <w:kern w:val="0"/>
          <w:sz w:val="30"/>
          <w:szCs w:val="30"/>
          <w:lang w:val="en-US" w:eastAsia="zh-CN" w:bidi="ar"/>
        </w:rPr>
        <w:t>五、近期整治规划</w:t>
      </w:r>
    </w:p>
    <w:p w14:paraId="32EDC4B5">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针对</w:t>
      </w:r>
      <w:r>
        <w:rPr>
          <w:rFonts w:hint="eastAsia" w:ascii="仿宋" w:hAnsi="仿宋" w:eastAsia="仿宋" w:cs="仿宋"/>
          <w:color w:val="000000"/>
          <w:sz w:val="30"/>
          <w:szCs w:val="30"/>
          <w:highlight w:val="none"/>
          <w:lang w:val="en-US" w:eastAsia="zh-CN"/>
        </w:rPr>
        <w:t>前发村</w:t>
      </w:r>
      <w:r>
        <w:rPr>
          <w:rFonts w:hint="eastAsia" w:ascii="仿宋" w:hAnsi="仿宋" w:eastAsia="仿宋" w:cs="仿宋"/>
          <w:b w:val="0"/>
          <w:bCs w:val="0"/>
          <w:color w:val="000000"/>
          <w:kern w:val="0"/>
          <w:sz w:val="30"/>
          <w:szCs w:val="30"/>
          <w:lang w:val="en-US" w:eastAsia="zh-CN" w:bidi="ar"/>
        </w:rPr>
        <w:t>实际建设需求、居民生产生活和生态保护面临的迫切问题，近期重点从公共服务设施、商业服务设施、公用设施、道路工程、人居环境等方面建设项目，主要增加项目包括卫生室、文化活动室、老年人活动中心、停车场等。</w:t>
      </w:r>
    </w:p>
    <w:p w14:paraId="1A3597BD">
      <w:pPr>
        <w:spacing w:line="420" w:lineRule="auto"/>
        <w:ind w:firstLine="573"/>
        <w:rPr>
          <w:rFonts w:hint="eastAsia" w:ascii="仿宋" w:hAnsi="仿宋" w:eastAsia="仿宋" w:cs="仿宋"/>
          <w:b w:val="0"/>
          <w:bCs w:val="0"/>
          <w:color w:val="000000"/>
          <w:kern w:val="0"/>
          <w:sz w:val="30"/>
          <w:szCs w:val="30"/>
          <w:lang w:val="en-US" w:eastAsia="zh-CN" w:bidi="ar"/>
        </w:rPr>
      </w:pPr>
    </w:p>
    <w:p w14:paraId="79BD3711">
      <w:pPr>
        <w:spacing w:line="420" w:lineRule="auto"/>
        <w:ind w:firstLine="573"/>
        <w:rPr>
          <w:rFonts w:hint="eastAsia" w:ascii="仿宋" w:hAnsi="仿宋" w:eastAsia="仿宋" w:cs="仿宋"/>
          <w:b w:val="0"/>
          <w:bCs w:val="0"/>
          <w:color w:val="000000"/>
          <w:kern w:val="0"/>
          <w:sz w:val="30"/>
          <w:szCs w:val="30"/>
          <w:lang w:val="en-US" w:eastAsia="zh-CN" w:bidi="ar"/>
        </w:rPr>
      </w:pPr>
    </w:p>
    <w:p w14:paraId="12AC4609">
      <w:pPr>
        <w:spacing w:line="420" w:lineRule="auto"/>
        <w:ind w:firstLine="573"/>
        <w:rPr>
          <w:rFonts w:hint="eastAsia" w:ascii="仿宋" w:hAnsi="仿宋" w:eastAsia="仿宋" w:cs="仿宋"/>
          <w:b w:val="0"/>
          <w:bCs w:val="0"/>
          <w:color w:val="000000"/>
          <w:kern w:val="0"/>
          <w:sz w:val="30"/>
          <w:szCs w:val="30"/>
          <w:lang w:val="en-US" w:eastAsia="zh-CN" w:bidi="ar"/>
        </w:rPr>
      </w:pPr>
    </w:p>
    <w:p w14:paraId="0F932D0B">
      <w:pPr>
        <w:spacing w:line="420" w:lineRule="auto"/>
        <w:ind w:firstLine="573"/>
        <w:rPr>
          <w:rFonts w:hint="eastAsia" w:ascii="仿宋" w:hAnsi="仿宋" w:eastAsia="仿宋" w:cs="仿宋"/>
          <w:b w:val="0"/>
          <w:bCs w:val="0"/>
          <w:color w:val="000000"/>
          <w:kern w:val="0"/>
          <w:sz w:val="30"/>
          <w:szCs w:val="30"/>
          <w:lang w:val="en-US" w:eastAsia="zh-CN" w:bidi="ar"/>
        </w:rPr>
      </w:pPr>
    </w:p>
    <w:p w14:paraId="1973D0C4">
      <w:pPr>
        <w:spacing w:line="420" w:lineRule="auto"/>
        <w:ind w:firstLine="573"/>
        <w:rPr>
          <w:rFonts w:hint="eastAsia" w:ascii="仿宋" w:hAnsi="仿宋" w:eastAsia="仿宋" w:cs="仿宋"/>
          <w:b w:val="0"/>
          <w:bCs w:val="0"/>
          <w:color w:val="000000"/>
          <w:kern w:val="0"/>
          <w:sz w:val="30"/>
          <w:szCs w:val="30"/>
          <w:lang w:val="en-US" w:eastAsia="zh-CN" w:bidi="ar"/>
        </w:rPr>
      </w:pPr>
    </w:p>
    <w:p w14:paraId="305674E2">
      <w:pPr>
        <w:spacing w:line="420" w:lineRule="auto"/>
        <w:ind w:firstLine="573"/>
        <w:rPr>
          <w:rFonts w:hint="eastAsia" w:ascii="仿宋" w:hAnsi="仿宋" w:eastAsia="仿宋" w:cs="仿宋"/>
          <w:b w:val="0"/>
          <w:bCs w:val="0"/>
          <w:color w:val="000000"/>
          <w:kern w:val="0"/>
          <w:sz w:val="30"/>
          <w:szCs w:val="30"/>
          <w:lang w:val="en-US" w:eastAsia="zh-CN" w:bidi="ar"/>
        </w:rPr>
      </w:pPr>
    </w:p>
    <w:p w14:paraId="54AEBD32">
      <w:pPr>
        <w:spacing w:line="420" w:lineRule="auto"/>
        <w:ind w:firstLine="573"/>
        <w:rPr>
          <w:rFonts w:hint="eastAsia" w:ascii="仿宋" w:hAnsi="仿宋" w:eastAsia="仿宋" w:cs="仿宋"/>
          <w:b w:val="0"/>
          <w:bCs w:val="0"/>
          <w:color w:val="000000"/>
          <w:kern w:val="0"/>
          <w:sz w:val="30"/>
          <w:szCs w:val="30"/>
          <w:lang w:val="en-US" w:eastAsia="zh-CN" w:bidi="ar"/>
        </w:rPr>
      </w:pPr>
    </w:p>
    <w:p w14:paraId="4FA4D283">
      <w:pPr>
        <w:keepNext w:val="0"/>
        <w:keepLines w:val="0"/>
        <w:widowControl/>
        <w:suppressLineNumbers w:val="0"/>
        <w:jc w:val="left"/>
      </w:pPr>
      <w:r>
        <w:rPr>
          <w:rFonts w:ascii="黑体" w:hAnsi="宋体" w:eastAsia="黑体" w:cs="黑体"/>
          <w:b/>
          <w:bCs/>
          <w:color w:val="000000"/>
          <w:kern w:val="0"/>
          <w:sz w:val="30"/>
          <w:szCs w:val="30"/>
          <w:lang w:val="en-US" w:eastAsia="zh-CN" w:bidi="ar"/>
        </w:rPr>
        <w:t>六、附图</w:t>
      </w:r>
    </w:p>
    <w:p w14:paraId="1E699CFE">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1.区位图</w:t>
      </w:r>
    </w:p>
    <w:p w14:paraId="0B3F758F">
      <w:pPr>
        <w:spacing w:line="420" w:lineRule="auto"/>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drawing>
          <wp:inline distT="0" distB="0" distL="114300" distR="114300">
            <wp:extent cx="7452995" cy="5270500"/>
            <wp:effectExtent l="0" t="0" r="6350" b="14605"/>
            <wp:docPr id="12" name="图片 12" descr="01区位分析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1区位分析图"/>
                    <pic:cNvPicPr>
                      <a:picLocks noChangeAspect="1"/>
                    </pic:cNvPicPr>
                  </pic:nvPicPr>
                  <pic:blipFill>
                    <a:blip r:embed="rId5"/>
                    <a:stretch>
                      <a:fillRect/>
                    </a:stretch>
                  </pic:blipFill>
                  <pic:spPr>
                    <a:xfrm rot="16200000">
                      <a:off x="0" y="0"/>
                      <a:ext cx="7452995" cy="5270500"/>
                    </a:xfrm>
                    <a:prstGeom prst="rect">
                      <a:avLst/>
                    </a:prstGeom>
                  </pic:spPr>
                </pic:pic>
              </a:graphicData>
            </a:graphic>
          </wp:inline>
        </w:drawing>
      </w:r>
    </w:p>
    <w:p w14:paraId="4F5C6BAB">
      <w:pPr>
        <w:spacing w:line="420" w:lineRule="auto"/>
        <w:ind w:firstLine="573"/>
        <w:rPr>
          <w:rFonts w:hint="eastAsia" w:ascii="仿宋" w:hAnsi="仿宋" w:eastAsia="仿宋" w:cs="仿宋"/>
          <w:b w:val="0"/>
          <w:bCs w:val="0"/>
          <w:color w:val="000000"/>
          <w:kern w:val="0"/>
          <w:sz w:val="30"/>
          <w:szCs w:val="30"/>
          <w:lang w:val="en-US" w:eastAsia="zh-CN" w:bidi="ar"/>
        </w:rPr>
      </w:pPr>
    </w:p>
    <w:p w14:paraId="4C430321">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2.各类控制线管控图</w:t>
      </w:r>
    </w:p>
    <w:p w14:paraId="798699F9">
      <w:pPr>
        <w:spacing w:line="420" w:lineRule="auto"/>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drawing>
          <wp:inline distT="0" distB="0" distL="114300" distR="114300">
            <wp:extent cx="7480300" cy="5289550"/>
            <wp:effectExtent l="0" t="0" r="6350" b="6350"/>
            <wp:docPr id="13" name="图片 13" descr="13各类控制线管控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3各类控制线管控图"/>
                    <pic:cNvPicPr>
                      <a:picLocks noChangeAspect="1"/>
                    </pic:cNvPicPr>
                  </pic:nvPicPr>
                  <pic:blipFill>
                    <a:blip r:embed="rId6"/>
                    <a:stretch>
                      <a:fillRect/>
                    </a:stretch>
                  </pic:blipFill>
                  <pic:spPr>
                    <a:xfrm rot="16200000">
                      <a:off x="0" y="0"/>
                      <a:ext cx="7480300" cy="5289550"/>
                    </a:xfrm>
                    <a:prstGeom prst="rect">
                      <a:avLst/>
                    </a:prstGeom>
                  </pic:spPr>
                </pic:pic>
              </a:graphicData>
            </a:graphic>
          </wp:inline>
        </w:drawing>
      </w:r>
    </w:p>
    <w:p w14:paraId="0F5E6684">
      <w:pPr>
        <w:keepNext w:val="0"/>
        <w:keepLines w:val="0"/>
        <w:pageBreakBefore w:val="0"/>
        <w:widowControl w:val="0"/>
        <w:kinsoku/>
        <w:wordWrap/>
        <w:overflowPunct/>
        <w:topLinePunct w:val="0"/>
        <w:autoSpaceDE/>
        <w:autoSpaceDN/>
        <w:bidi w:val="0"/>
        <w:adjustRightInd/>
        <w:snapToGrid/>
        <w:spacing w:line="560" w:lineRule="exact"/>
        <w:ind w:firstLine="600" w:firstLineChars="200"/>
        <w:textAlignment w:val="auto"/>
        <w:rPr>
          <w:rFonts w:hint="eastAsia" w:ascii="仿宋" w:hAnsi="仿宋" w:eastAsia="仿宋" w:cs="仿宋"/>
          <w:color w:val="000000"/>
          <w:sz w:val="30"/>
          <w:szCs w:val="30"/>
          <w:highlight w:val="none"/>
          <w:lang w:val="en-US" w:eastAsia="zh-CN"/>
        </w:rPr>
      </w:pPr>
    </w:p>
    <w:p w14:paraId="1F455756">
      <w:pPr>
        <w:rPr>
          <w:rFonts w:hint="eastAsia" w:ascii="仿宋" w:hAnsi="仿宋" w:eastAsia="仿宋" w:cs="仿宋"/>
        </w:rPr>
      </w:pPr>
    </w:p>
    <w:p w14:paraId="2765E51E">
      <w:pPr>
        <w:rPr>
          <w:rFonts w:hint="eastAsia" w:ascii="仿宋" w:hAnsi="仿宋" w:eastAsia="仿宋" w:cs="仿宋"/>
        </w:rPr>
      </w:pPr>
    </w:p>
    <w:p w14:paraId="2AFFBEC6">
      <w:pPr>
        <w:rPr>
          <w:rFonts w:hint="eastAsia" w:ascii="仿宋" w:hAnsi="仿宋" w:eastAsia="仿宋" w:cs="仿宋"/>
        </w:rPr>
      </w:pPr>
    </w:p>
    <w:p w14:paraId="17C20722">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3.村域国土空间规划图</w:t>
      </w:r>
    </w:p>
    <w:p w14:paraId="726971F3">
      <w:p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7637145" cy="5400675"/>
            <wp:effectExtent l="0" t="0" r="9525" b="1905"/>
            <wp:docPr id="14" name="图片 14" descr="16村域国土空间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村域国土空间规划图"/>
                    <pic:cNvPicPr>
                      <a:picLocks noChangeAspect="1"/>
                    </pic:cNvPicPr>
                  </pic:nvPicPr>
                  <pic:blipFill>
                    <a:blip r:embed="rId7"/>
                    <a:stretch>
                      <a:fillRect/>
                    </a:stretch>
                  </pic:blipFill>
                  <pic:spPr>
                    <a:xfrm rot="16200000">
                      <a:off x="0" y="0"/>
                      <a:ext cx="7637145" cy="5400675"/>
                    </a:xfrm>
                    <a:prstGeom prst="rect">
                      <a:avLst/>
                    </a:prstGeom>
                  </pic:spPr>
                </pic:pic>
              </a:graphicData>
            </a:graphic>
          </wp:inline>
        </w:drawing>
      </w:r>
    </w:p>
    <w:p w14:paraId="144682C9">
      <w:pPr>
        <w:rPr>
          <w:rFonts w:hint="eastAsia" w:ascii="仿宋" w:hAnsi="仿宋" w:eastAsia="仿宋" w:cs="仿宋"/>
          <w:lang w:eastAsia="zh-CN"/>
        </w:rPr>
      </w:pPr>
    </w:p>
    <w:p w14:paraId="62FAC932">
      <w:pPr>
        <w:rPr>
          <w:rFonts w:hint="eastAsia" w:ascii="仿宋" w:hAnsi="仿宋" w:eastAsia="仿宋" w:cs="仿宋"/>
          <w:lang w:eastAsia="zh-CN"/>
        </w:rPr>
      </w:pPr>
    </w:p>
    <w:p w14:paraId="30E30EAB">
      <w:pPr>
        <w:rPr>
          <w:rFonts w:hint="eastAsia" w:ascii="仿宋" w:hAnsi="仿宋" w:eastAsia="仿宋" w:cs="仿宋"/>
          <w:lang w:eastAsia="zh-CN"/>
        </w:rPr>
      </w:pPr>
    </w:p>
    <w:p w14:paraId="22A1D9A3">
      <w:pPr>
        <w:rPr>
          <w:rFonts w:hint="eastAsia" w:ascii="仿宋" w:hAnsi="仿宋" w:eastAsia="仿宋" w:cs="仿宋"/>
          <w:lang w:eastAsia="zh-CN"/>
        </w:rPr>
      </w:pPr>
    </w:p>
    <w:p w14:paraId="20A2F509">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4.产业空间发展引导图</w:t>
      </w:r>
    </w:p>
    <w:p w14:paraId="1CFB6D67">
      <w:p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7553960" cy="5341620"/>
            <wp:effectExtent l="0" t="0" r="11430" b="8890"/>
            <wp:docPr id="15" name="图片 15" descr="17产业空间发展导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产业空间发展导图"/>
                    <pic:cNvPicPr>
                      <a:picLocks noChangeAspect="1"/>
                    </pic:cNvPicPr>
                  </pic:nvPicPr>
                  <pic:blipFill>
                    <a:blip r:embed="rId8"/>
                    <a:stretch>
                      <a:fillRect/>
                    </a:stretch>
                  </pic:blipFill>
                  <pic:spPr>
                    <a:xfrm rot="16200000">
                      <a:off x="0" y="0"/>
                      <a:ext cx="7553960" cy="5341620"/>
                    </a:xfrm>
                    <a:prstGeom prst="rect">
                      <a:avLst/>
                    </a:prstGeom>
                  </pic:spPr>
                </pic:pic>
              </a:graphicData>
            </a:graphic>
          </wp:inline>
        </w:drawing>
      </w:r>
    </w:p>
    <w:p w14:paraId="0C6B61AC">
      <w:pPr>
        <w:rPr>
          <w:rFonts w:hint="eastAsia" w:ascii="仿宋" w:hAnsi="仿宋" w:eastAsia="仿宋" w:cs="仿宋"/>
          <w:lang w:eastAsia="zh-CN"/>
        </w:rPr>
      </w:pPr>
    </w:p>
    <w:p w14:paraId="05067895">
      <w:pPr>
        <w:rPr>
          <w:rFonts w:hint="eastAsia" w:ascii="仿宋" w:hAnsi="仿宋" w:eastAsia="仿宋" w:cs="仿宋"/>
          <w:lang w:eastAsia="zh-CN"/>
        </w:rPr>
      </w:pPr>
    </w:p>
    <w:p w14:paraId="4BCE1190">
      <w:pPr>
        <w:rPr>
          <w:rFonts w:hint="eastAsia" w:ascii="仿宋" w:hAnsi="仿宋" w:eastAsia="仿宋" w:cs="仿宋"/>
          <w:lang w:eastAsia="zh-CN"/>
        </w:rPr>
      </w:pPr>
    </w:p>
    <w:p w14:paraId="52D23398">
      <w:pPr>
        <w:rPr>
          <w:rFonts w:hint="eastAsia" w:ascii="仿宋" w:hAnsi="仿宋" w:eastAsia="仿宋" w:cs="仿宋"/>
          <w:lang w:eastAsia="zh-CN"/>
        </w:rPr>
      </w:pPr>
    </w:p>
    <w:p w14:paraId="0614DB50">
      <w:pPr>
        <w:spacing w:line="420" w:lineRule="auto"/>
        <w:ind w:firstLine="573"/>
        <w:rPr>
          <w:rFonts w:hint="eastAsia" w:ascii="仿宋" w:hAnsi="仿宋" w:eastAsia="仿宋" w:cs="仿宋"/>
          <w:b w:val="0"/>
          <w:bCs w:val="0"/>
          <w:color w:val="000000"/>
          <w:kern w:val="0"/>
          <w:sz w:val="30"/>
          <w:szCs w:val="30"/>
          <w:lang w:val="en-US" w:eastAsia="zh-CN" w:bidi="ar"/>
        </w:rPr>
      </w:pPr>
      <w:r>
        <w:rPr>
          <w:rFonts w:hint="eastAsia" w:ascii="仿宋" w:hAnsi="仿宋" w:eastAsia="仿宋" w:cs="仿宋"/>
          <w:b w:val="0"/>
          <w:bCs w:val="0"/>
          <w:color w:val="000000"/>
          <w:kern w:val="0"/>
          <w:sz w:val="30"/>
          <w:szCs w:val="30"/>
          <w:lang w:val="en-US" w:eastAsia="zh-CN" w:bidi="ar"/>
        </w:rPr>
        <w:t>5.村民版规划图</w:t>
      </w:r>
    </w:p>
    <w:p w14:paraId="26E9D46D">
      <w:pPr>
        <w:rPr>
          <w:rFonts w:hint="eastAsia" w:ascii="仿宋" w:hAnsi="仿宋" w:eastAsia="仿宋" w:cs="仿宋"/>
          <w:lang w:eastAsia="zh-CN"/>
        </w:rPr>
      </w:pPr>
      <w:r>
        <w:rPr>
          <w:rFonts w:hint="eastAsia" w:ascii="仿宋" w:hAnsi="仿宋" w:eastAsia="仿宋" w:cs="仿宋"/>
          <w:lang w:eastAsia="zh-CN"/>
        </w:rPr>
        <w:drawing>
          <wp:inline distT="0" distB="0" distL="114300" distR="114300">
            <wp:extent cx="7540625" cy="5332095"/>
            <wp:effectExtent l="0" t="0" r="1905" b="3175"/>
            <wp:docPr id="16" name="图片 16" descr="40村民版规划成果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0村民版规划成果示意图"/>
                    <pic:cNvPicPr>
                      <a:picLocks noChangeAspect="1"/>
                    </pic:cNvPicPr>
                  </pic:nvPicPr>
                  <pic:blipFill>
                    <a:blip r:embed="rId9"/>
                    <a:stretch>
                      <a:fillRect/>
                    </a:stretch>
                  </pic:blipFill>
                  <pic:spPr>
                    <a:xfrm rot="16200000">
                      <a:off x="0" y="0"/>
                      <a:ext cx="7540625" cy="5332095"/>
                    </a:xfrm>
                    <a:prstGeom prst="rect">
                      <a:avLst/>
                    </a:prstGeom>
                  </pic:spPr>
                </pic:pic>
              </a:graphicData>
            </a:graphic>
          </wp:inline>
        </w:drawing>
      </w:r>
      <w:bookmarkStart w:id="0" w:name="_GoBack"/>
      <w:bookmarkEnd w:id="0"/>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A1275F">
    <w:pPr>
      <w:pStyle w:val="2"/>
    </w:pPr>
  </w:p>
  <w:p w14:paraId="05E8A636">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840D8A">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43840D8A">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989003E"/>
    <w:rsid w:val="01D40883"/>
    <w:rsid w:val="053F69CD"/>
    <w:rsid w:val="058368B9"/>
    <w:rsid w:val="0CCC323C"/>
    <w:rsid w:val="0E407A3D"/>
    <w:rsid w:val="152710DE"/>
    <w:rsid w:val="180E5D05"/>
    <w:rsid w:val="1E324D9F"/>
    <w:rsid w:val="20325F7E"/>
    <w:rsid w:val="321C3512"/>
    <w:rsid w:val="32CA1FB9"/>
    <w:rsid w:val="32FC6012"/>
    <w:rsid w:val="3CDF4B1B"/>
    <w:rsid w:val="3DA709A2"/>
    <w:rsid w:val="3E951F7E"/>
    <w:rsid w:val="423D5A66"/>
    <w:rsid w:val="4E596E89"/>
    <w:rsid w:val="527C6137"/>
    <w:rsid w:val="54171005"/>
    <w:rsid w:val="581D5CC6"/>
    <w:rsid w:val="59C96098"/>
    <w:rsid w:val="5E7D2194"/>
    <w:rsid w:val="602821CF"/>
    <w:rsid w:val="644A1BF1"/>
    <w:rsid w:val="671C5D01"/>
    <w:rsid w:val="6A9043A3"/>
    <w:rsid w:val="6F70294E"/>
    <w:rsid w:val="70CD5DAB"/>
    <w:rsid w:val="710B44B6"/>
    <w:rsid w:val="7989003E"/>
    <w:rsid w:val="7B8D0529"/>
    <w:rsid w:val="7DD30A52"/>
    <w:rsid w:val="7FD005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Pages>
  <Words>1724</Words>
  <Characters>1836</Characters>
  <Lines>0</Lines>
  <Paragraphs>0</Paragraphs>
  <TotalTime>2</TotalTime>
  <ScaleCrop>false</ScaleCrop>
  <LinksUpToDate>false</LinksUpToDate>
  <CharactersWithSpaces>1854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2025-07-15T07:10:00Z</dcterms:created>
  <dc:creator>小超子，长肉吧！</dc:creator>
  <cp:lastModifiedBy>小超子，长肉吧！</cp:lastModifiedBy>
  <dcterms:modified xsi:type="dcterms:W3CDTF">2025-07-16T01:42:11Z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69C5BA980F3D43FBA1218A8D1E88B51F_13</vt:lpwstr>
  </property>
  <property fmtid="{D5CDD505-2E9C-101B-9397-08002B2CF9AE}" pid="4" name="KSOTemplateDocerSaveRecord">
    <vt:lpwstr>eyJoZGlkIjoiMDk3ZDA2NjRjMWE2YmMxMzkyNGIzZTQ3OGYzMTY2NzgiLCJ1c2VySWQiOiI0NDE3MzYzMjEifQ==</vt:lpwstr>
  </property>
</Properties>
</file>